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A" w:rsidRPr="00904DF6" w:rsidRDefault="00BE5E3A" w:rsidP="00BE5E3A">
      <w:pPr>
        <w:keepNext/>
        <w:jc w:val="both"/>
        <w:outlineLvl w:val="3"/>
        <w:rPr>
          <w:b/>
          <w:color w:val="000000"/>
          <w:szCs w:val="24"/>
          <w:lang w:val="en-GB"/>
        </w:rPr>
      </w:pPr>
      <w:r w:rsidRPr="00904DF6">
        <w:rPr>
          <w:b/>
          <w:color w:val="000000"/>
          <w:szCs w:val="24"/>
          <w:lang w:val="en-GB"/>
        </w:rPr>
        <w:t>Soils</w:t>
      </w:r>
      <w:r>
        <w:rPr>
          <w:b/>
          <w:color w:val="000000"/>
          <w:szCs w:val="24"/>
          <w:lang w:val="en-GB"/>
        </w:rPr>
        <w:t xml:space="preserve">: </w:t>
      </w:r>
      <w:bookmarkStart w:id="0" w:name="_GoBack"/>
      <w:bookmarkEnd w:id="0"/>
    </w:p>
    <w:p w:rsidR="00BE5E3A" w:rsidRPr="00904DF6" w:rsidRDefault="00BE5E3A" w:rsidP="00BE5E3A">
      <w:pPr>
        <w:keepNext/>
        <w:spacing w:after="240"/>
        <w:jc w:val="both"/>
        <w:outlineLvl w:val="3"/>
        <w:rPr>
          <w:color w:val="000000"/>
          <w:spacing w:val="-2"/>
          <w:lang w:val="en-GB"/>
        </w:rPr>
      </w:pPr>
      <w:r w:rsidRPr="00904DF6">
        <w:rPr>
          <w:color w:val="000000"/>
          <w:lang w:val="en-GB"/>
        </w:rPr>
        <w:t xml:space="preserve">The diversity of soil types in the Plain of Reeds enables the formation of the diverse landscape and biodiversity. </w:t>
      </w:r>
      <w:r w:rsidRPr="00904DF6">
        <w:rPr>
          <w:color w:val="000000"/>
          <w:spacing w:val="-2"/>
          <w:lang w:val="en-GB"/>
        </w:rPr>
        <w:t xml:space="preserve">Following Soil Taxonomy of USDA (1999), Lang </w:t>
      </w:r>
      <w:proofErr w:type="spellStart"/>
      <w:r w:rsidRPr="00904DF6">
        <w:rPr>
          <w:color w:val="000000"/>
          <w:spacing w:val="-2"/>
          <w:lang w:val="en-GB"/>
        </w:rPr>
        <w:t>Sen</w:t>
      </w:r>
      <w:proofErr w:type="spellEnd"/>
      <w:r w:rsidRPr="00904DF6">
        <w:rPr>
          <w:color w:val="000000"/>
          <w:spacing w:val="-2"/>
          <w:lang w:val="en-GB"/>
        </w:rPr>
        <w:t xml:space="preserve"> locates in the area of seasonal inundated sulphate soils that </w:t>
      </w:r>
      <w:r>
        <w:rPr>
          <w:color w:val="000000"/>
          <w:spacing w:val="-2"/>
          <w:lang w:val="en-GB"/>
        </w:rPr>
        <w:t xml:space="preserve">is </w:t>
      </w:r>
      <w:r w:rsidRPr="00904DF6">
        <w:rPr>
          <w:color w:val="000000"/>
          <w:spacing w:val="-2"/>
          <w:lang w:val="en-GB"/>
        </w:rPr>
        <w:t xml:space="preserve">dominated by </w:t>
      </w:r>
      <w:proofErr w:type="spellStart"/>
      <w:r w:rsidRPr="00904DF6">
        <w:rPr>
          <w:color w:val="000000"/>
          <w:spacing w:val="-2"/>
          <w:lang w:val="en-GB"/>
        </w:rPr>
        <w:t>typic</w:t>
      </w:r>
      <w:proofErr w:type="spellEnd"/>
      <w:r w:rsidRPr="00904DF6">
        <w:rPr>
          <w:color w:val="000000"/>
          <w:spacing w:val="-2"/>
          <w:lang w:val="en-GB"/>
        </w:rPr>
        <w:t xml:space="preserve"> </w:t>
      </w:r>
      <w:proofErr w:type="spellStart"/>
      <w:r w:rsidRPr="00904DF6">
        <w:rPr>
          <w:color w:val="000000"/>
          <w:spacing w:val="-2"/>
          <w:lang w:val="en-GB"/>
        </w:rPr>
        <w:t>sufalquents</w:t>
      </w:r>
      <w:proofErr w:type="spellEnd"/>
      <w:r w:rsidRPr="00904DF6">
        <w:rPr>
          <w:color w:val="000000"/>
          <w:spacing w:val="-2"/>
          <w:lang w:val="en-GB"/>
        </w:rPr>
        <w:t xml:space="preserve">, </w:t>
      </w:r>
      <w:proofErr w:type="spellStart"/>
      <w:r w:rsidRPr="00904DF6">
        <w:rPr>
          <w:color w:val="000000"/>
          <w:spacing w:val="-2"/>
          <w:lang w:val="en-GB"/>
        </w:rPr>
        <w:t>typic</w:t>
      </w:r>
      <w:proofErr w:type="spellEnd"/>
      <w:r w:rsidRPr="00904DF6">
        <w:rPr>
          <w:color w:val="000000"/>
          <w:spacing w:val="-2"/>
          <w:lang w:val="en-GB"/>
        </w:rPr>
        <w:t xml:space="preserve"> </w:t>
      </w:r>
      <w:proofErr w:type="spellStart"/>
      <w:r w:rsidRPr="00904DF6">
        <w:rPr>
          <w:color w:val="000000"/>
          <w:spacing w:val="-2"/>
          <w:lang w:val="en-GB"/>
        </w:rPr>
        <w:t>sulfaquepts</w:t>
      </w:r>
      <w:proofErr w:type="spellEnd"/>
      <w:r w:rsidRPr="00904DF6">
        <w:rPr>
          <w:color w:val="000000"/>
          <w:spacing w:val="-2"/>
          <w:lang w:val="en-GB"/>
        </w:rPr>
        <w:t xml:space="preserve">, </w:t>
      </w:r>
      <w:proofErr w:type="spellStart"/>
      <w:r w:rsidRPr="00904DF6">
        <w:rPr>
          <w:color w:val="000000"/>
          <w:spacing w:val="-2"/>
          <w:lang w:val="en-GB"/>
        </w:rPr>
        <w:t>sulfic</w:t>
      </w:r>
      <w:proofErr w:type="spellEnd"/>
      <w:r w:rsidRPr="00904DF6">
        <w:rPr>
          <w:color w:val="000000"/>
          <w:spacing w:val="-2"/>
          <w:lang w:val="en-GB"/>
        </w:rPr>
        <w:t xml:space="preserve"> </w:t>
      </w:r>
      <w:proofErr w:type="spellStart"/>
      <w:r w:rsidRPr="00904DF6">
        <w:rPr>
          <w:color w:val="000000"/>
          <w:spacing w:val="-2"/>
          <w:lang w:val="en-GB"/>
        </w:rPr>
        <w:t>tropaquents</w:t>
      </w:r>
      <w:proofErr w:type="spellEnd"/>
      <w:r w:rsidRPr="00904DF6">
        <w:rPr>
          <w:color w:val="000000"/>
          <w:spacing w:val="-2"/>
          <w:lang w:val="en-GB"/>
        </w:rPr>
        <w:t xml:space="preserve"> and </w:t>
      </w:r>
      <w:proofErr w:type="spellStart"/>
      <w:r w:rsidRPr="00904DF6">
        <w:rPr>
          <w:color w:val="000000"/>
          <w:spacing w:val="-2"/>
          <w:lang w:val="en-GB"/>
        </w:rPr>
        <w:t>sulfic</w:t>
      </w:r>
      <w:proofErr w:type="spellEnd"/>
      <w:r w:rsidRPr="00904DF6">
        <w:rPr>
          <w:color w:val="000000"/>
          <w:spacing w:val="-2"/>
          <w:lang w:val="en-GB"/>
        </w:rPr>
        <w:t xml:space="preserve"> </w:t>
      </w:r>
      <w:proofErr w:type="spellStart"/>
      <w:r w:rsidRPr="00904DF6">
        <w:rPr>
          <w:color w:val="000000"/>
          <w:spacing w:val="-2"/>
          <w:lang w:val="en-GB"/>
        </w:rPr>
        <w:t>tropaquepts</w:t>
      </w:r>
      <w:proofErr w:type="spellEnd"/>
      <w:r w:rsidRPr="00904DF6">
        <w:rPr>
          <w:color w:val="000000"/>
          <w:spacing w:val="-2"/>
          <w:lang w:val="en-GB"/>
        </w:rPr>
        <w:t xml:space="preserve"> (see table bellows, source: Le </w:t>
      </w:r>
      <w:proofErr w:type="spellStart"/>
      <w:r w:rsidRPr="00904DF6">
        <w:rPr>
          <w:color w:val="000000"/>
          <w:spacing w:val="-2"/>
          <w:lang w:val="en-GB"/>
        </w:rPr>
        <w:t>Phat</w:t>
      </w:r>
      <w:proofErr w:type="spellEnd"/>
      <w:r w:rsidRPr="00904DF6">
        <w:rPr>
          <w:color w:val="000000"/>
          <w:spacing w:val="-2"/>
          <w:lang w:val="en-GB"/>
        </w:rPr>
        <w:t xml:space="preserve"> Quoi 201</w:t>
      </w:r>
      <w:r>
        <w:rPr>
          <w:color w:val="000000"/>
          <w:spacing w:val="-2"/>
          <w:lang w:val="en-GB"/>
        </w:rPr>
        <w:t>3</w:t>
      </w:r>
      <w:r w:rsidRPr="00904DF6">
        <w:rPr>
          <w:color w:val="000000"/>
          <w:spacing w:val="-2"/>
          <w:lang w:val="en-GB"/>
        </w:rPr>
        <w:t>).</w:t>
      </w:r>
    </w:p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5"/>
        <w:gridCol w:w="3780"/>
        <w:gridCol w:w="1836"/>
      </w:tblGrid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Or</w:t>
            </w:r>
          </w:p>
        </w:tc>
        <w:tc>
          <w:tcPr>
            <w:tcW w:w="6335" w:type="dxa"/>
            <w:gridSpan w:val="2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Soil Taxonomy (USDA 1999)</w:t>
            </w:r>
          </w:p>
        </w:tc>
        <w:tc>
          <w:tcPr>
            <w:tcW w:w="1836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Area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</w:t>
            </w:r>
          </w:p>
        </w:tc>
        <w:tc>
          <w:tcPr>
            <w:tcW w:w="2555" w:type="dxa"/>
            <w:vMerge w:val="restart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ULTISOLS </w:t>
            </w:r>
          </w:p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Typic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Tropaquults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103.2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2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Plinthic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Tropaquults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142.8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3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Hydric </w:t>
            </w:r>
            <w:proofErr w:type="spellStart"/>
            <w:r w:rsidRPr="00904DF6">
              <w:rPr>
                <w:szCs w:val="24"/>
                <w:lang w:val="en-GB"/>
              </w:rPr>
              <w:t>Tropaquults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12.9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4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Hydric </w:t>
            </w:r>
            <w:proofErr w:type="spellStart"/>
            <w:r w:rsidRPr="00904DF6">
              <w:rPr>
                <w:szCs w:val="24"/>
                <w:lang w:val="en-GB"/>
              </w:rPr>
              <w:t>Humic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Tropaquults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19.8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5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Humic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Tropaquults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54.6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6</w:t>
            </w:r>
          </w:p>
        </w:tc>
        <w:tc>
          <w:tcPr>
            <w:tcW w:w="2555" w:type="dxa"/>
            <w:vMerge w:val="restart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ENTISOLS </w:t>
            </w:r>
          </w:p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Hydraquents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112.2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7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H</w:t>
            </w:r>
            <w:r w:rsidRPr="00904DF6">
              <w:rPr>
                <w:szCs w:val="24"/>
                <w:lang w:val="en-GB"/>
              </w:rPr>
              <w:t xml:space="preserve">ydric </w:t>
            </w: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Tropaquents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182.5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8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Tropaquents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434.7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9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Humic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Tropaquents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11.7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10</w:t>
            </w:r>
          </w:p>
        </w:tc>
        <w:tc>
          <w:tcPr>
            <w:tcW w:w="2555" w:type="dxa"/>
            <w:vMerge w:val="restart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INCEPTISOLS </w:t>
            </w:r>
          </w:p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Pathi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Tropaquepts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592.0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11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Sufic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Tropaquepts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405.1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12</w:t>
            </w:r>
          </w:p>
        </w:tc>
        <w:tc>
          <w:tcPr>
            <w:tcW w:w="2555" w:type="dxa"/>
            <w:vMerge w:val="restart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 xml:space="preserve">INCEPTISOLS </w:t>
            </w:r>
          </w:p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Typic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Sulfaquepts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1,412.2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13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A</w:t>
            </w:r>
            <w:r w:rsidRPr="00904DF6">
              <w:rPr>
                <w:szCs w:val="24"/>
                <w:lang w:val="en-GB"/>
              </w:rPr>
              <w:t>eric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Sulfaquepts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189.1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14</w:t>
            </w:r>
          </w:p>
        </w:tc>
        <w:tc>
          <w:tcPr>
            <w:tcW w:w="2555" w:type="dxa"/>
            <w:vMerge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Sulfic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Tropaquents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668.1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15</w:t>
            </w:r>
          </w:p>
        </w:tc>
        <w:tc>
          <w:tcPr>
            <w:tcW w:w="2555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r w:rsidRPr="00904DF6">
              <w:rPr>
                <w:szCs w:val="24"/>
                <w:lang w:val="en-GB"/>
              </w:rPr>
              <w:t>ENTISOLS</w:t>
            </w: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  <w:proofErr w:type="spellStart"/>
            <w:r w:rsidRPr="00904DF6">
              <w:rPr>
                <w:szCs w:val="24"/>
                <w:lang w:val="en-GB"/>
              </w:rPr>
              <w:t>Typic</w:t>
            </w:r>
            <w:proofErr w:type="spellEnd"/>
            <w:r w:rsidRPr="00904DF6">
              <w:rPr>
                <w:szCs w:val="24"/>
                <w:lang w:val="en-GB"/>
              </w:rPr>
              <w:t xml:space="preserve"> </w:t>
            </w:r>
            <w:proofErr w:type="spellStart"/>
            <w:r w:rsidRPr="00904DF6">
              <w:rPr>
                <w:szCs w:val="24"/>
                <w:lang w:val="en-GB"/>
              </w:rPr>
              <w:t>Sulfaquents</w:t>
            </w:r>
            <w:proofErr w:type="spellEnd"/>
          </w:p>
        </w:tc>
        <w:tc>
          <w:tcPr>
            <w:tcW w:w="1836" w:type="dxa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109.2</w:t>
            </w:r>
          </w:p>
        </w:tc>
      </w:tr>
      <w:tr w:rsidR="00BE5E3A" w:rsidRPr="00904DF6" w:rsidTr="00CD7FC0">
        <w:trPr>
          <w:jc w:val="center"/>
        </w:trPr>
        <w:tc>
          <w:tcPr>
            <w:tcW w:w="562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2555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3780" w:type="dxa"/>
          </w:tcPr>
          <w:p w:rsidR="00BE5E3A" w:rsidRPr="00904DF6" w:rsidRDefault="00BE5E3A" w:rsidP="00CD7FC0">
            <w:pPr>
              <w:ind w:left="567" w:hanging="567"/>
              <w:rPr>
                <w:szCs w:val="24"/>
                <w:lang w:val="en-GB"/>
              </w:rPr>
            </w:pPr>
          </w:p>
        </w:tc>
        <w:tc>
          <w:tcPr>
            <w:tcW w:w="1836" w:type="dxa"/>
            <w:vAlign w:val="bottom"/>
          </w:tcPr>
          <w:p w:rsidR="00BE5E3A" w:rsidRPr="00A801C4" w:rsidRDefault="00BE5E3A" w:rsidP="00CD7FC0">
            <w:pPr>
              <w:ind w:left="567" w:right="288" w:hanging="567"/>
              <w:jc w:val="right"/>
              <w:rPr>
                <w:szCs w:val="24"/>
                <w:lang w:val="en-GB"/>
              </w:rPr>
            </w:pPr>
            <w:r w:rsidRPr="00A801C4">
              <w:rPr>
                <w:szCs w:val="24"/>
                <w:lang w:val="en-GB"/>
              </w:rPr>
              <w:t>4,450.2</w:t>
            </w:r>
          </w:p>
        </w:tc>
      </w:tr>
    </w:tbl>
    <w:p w:rsidR="0012096C" w:rsidRPr="00527783" w:rsidRDefault="0012096C" w:rsidP="00295556">
      <w:pPr>
        <w:rPr>
          <w:rFonts w:ascii="Calibri" w:hAnsi="Calibri" w:cs="Arial"/>
        </w:rPr>
      </w:pPr>
    </w:p>
    <w:sectPr w:rsidR="0012096C" w:rsidRPr="00527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C"/>
    <w:rsid w:val="0012096C"/>
    <w:rsid w:val="00153D6C"/>
    <w:rsid w:val="00295556"/>
    <w:rsid w:val="00527783"/>
    <w:rsid w:val="00B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 Oceania</dc:creator>
  <cp:lastModifiedBy>Ramsar\Asia Oceania</cp:lastModifiedBy>
  <cp:revision>2</cp:revision>
  <dcterms:created xsi:type="dcterms:W3CDTF">2015-03-03T16:58:00Z</dcterms:created>
  <dcterms:modified xsi:type="dcterms:W3CDTF">2015-03-03T16:58:00Z</dcterms:modified>
</cp:coreProperties>
</file>