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6" w:rsidRDefault="00543716" w:rsidP="00543716">
      <w:pPr>
        <w:pStyle w:val="pstyleSectionL1"/>
      </w:pPr>
      <w:r>
        <w:rPr>
          <w:rStyle w:val="styleL1"/>
        </w:rPr>
        <w:t>3.3 Espèces animales dont la présence explique l'importance internationale du site</w:t>
      </w:r>
    </w:p>
    <w:p w:rsidR="00543716" w:rsidRDefault="00543716" w:rsidP="00543716">
      <w:pPr>
        <w:pStyle w:val="pstyleLabels"/>
      </w:pPr>
    </w:p>
    <w:p w:rsidR="00543716" w:rsidRDefault="00543716" w:rsidP="00543716">
      <w:pPr>
        <w:rPr>
          <w:b/>
        </w:rPr>
      </w:pPr>
    </w:p>
    <w:tbl>
      <w:tblPr>
        <w:tblW w:w="934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1931"/>
        <w:gridCol w:w="229"/>
        <w:gridCol w:w="1955"/>
        <w:gridCol w:w="2296"/>
      </w:tblGrid>
      <w:tr w:rsidR="00543716" w:rsidRPr="00430F18" w:rsidTr="00B11242">
        <w:trPr>
          <w:cantSplit/>
          <w:trHeight w:val="285"/>
        </w:trPr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ESPECES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ABONDANCE rel.</w:t>
            </w:r>
          </w:p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(C)     (NC)   (O )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  <w:lang w:val="de-DE"/>
              </w:rPr>
            </w:pPr>
            <w:r w:rsidRPr="0068251F">
              <w:rPr>
                <w:b/>
                <w:highlight w:val="yellow"/>
                <w:lang w:val="de-DE"/>
              </w:rPr>
              <w:t>STATUT GLOBAL</w:t>
            </w:r>
          </w:p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  <w:lang w:val="de-DE"/>
              </w:rPr>
            </w:pPr>
            <w:r w:rsidRPr="0068251F">
              <w:rPr>
                <w:b/>
                <w:highlight w:val="yellow"/>
                <w:lang w:val="de-DE"/>
              </w:rPr>
              <w:t>( r )  ( e )  ( m )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  <w:lang w:val="pt-BR"/>
              </w:rPr>
            </w:pPr>
            <w:r w:rsidRPr="0068251F">
              <w:rPr>
                <w:b/>
                <w:highlight w:val="yellow"/>
                <w:lang w:val="pt-BR"/>
              </w:rPr>
              <w:t>STATUT LOCAL</w:t>
            </w:r>
          </w:p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highlight w:val="yellow"/>
                <w:lang w:val="pt-BR"/>
              </w:rPr>
            </w:pPr>
            <w:r w:rsidRPr="0068251F">
              <w:rPr>
                <w:b/>
                <w:highlight w:val="yellow"/>
                <w:lang w:val="pt-BR"/>
              </w:rPr>
              <w:t>(R) (B) (A) (H) (Mi)</w:t>
            </w:r>
          </w:p>
        </w:tc>
      </w:tr>
      <w:tr w:rsidR="00543716" w:rsidRPr="0068251F" w:rsidTr="00B11242">
        <w:trPr>
          <w:cantSplit/>
          <w:trHeight w:val="521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Espèces comprises dans l’annexe II du protocole des ASP et DB en Méditerranée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jc w:val="left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b/>
                <w:bCs/>
                <w:sz w:val="20"/>
                <w:szCs w:val="20"/>
                <w:highlight w:val="yellow"/>
              </w:rPr>
              <w:t>Phaeophyta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339" w:hanging="180"/>
              <w:rPr>
                <w:b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Cystoseira spp.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jc w:val="left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b/>
                <w:bCs/>
                <w:sz w:val="20"/>
                <w:szCs w:val="20"/>
                <w:highlight w:val="yellow"/>
              </w:rPr>
              <w:t>Rhodophyta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Lithophyllum byssoides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Cnidaria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highlight w:val="yellow"/>
              </w:rPr>
            </w:pPr>
            <w:r w:rsidRPr="0068251F">
              <w:rPr>
                <w:highlight w:val="yellow"/>
              </w:rPr>
              <w:t>Asteroides</w:t>
            </w:r>
            <w:r>
              <w:rPr>
                <w:highlight w:val="yellow"/>
              </w:rPr>
              <w:t xml:space="preserve"> </w:t>
            </w:r>
            <w:r w:rsidRPr="0068251F">
              <w:rPr>
                <w:highlight w:val="yellow"/>
              </w:rPr>
              <w:t>calycularis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Mollusca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ind w:left="159"/>
              <w:jc w:val="left"/>
              <w:rPr>
                <w:rFonts w:cs="Arial"/>
                <w:bCs/>
                <w:i/>
                <w:iCs/>
                <w:cap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i/>
                <w:iCs/>
                <w:sz w:val="20"/>
                <w:szCs w:val="20"/>
                <w:highlight w:val="yellow"/>
              </w:rPr>
              <w:t>Patella ferruginea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ind w:left="159"/>
              <w:jc w:val="left"/>
              <w:rPr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i/>
                <w:iCs/>
                <w:sz w:val="20"/>
                <w:szCs w:val="20"/>
                <w:highlight w:val="yellow"/>
              </w:rPr>
              <w:t>Patella nigra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ind w:left="159"/>
              <w:jc w:val="left"/>
              <w:rPr>
                <w:rFonts w:cs="Arial"/>
                <w:i/>
                <w:iC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i/>
                <w:iCs/>
                <w:sz w:val="20"/>
                <w:szCs w:val="20"/>
                <w:highlight w:val="yellow"/>
              </w:rPr>
              <w:t>Pinna</w:t>
            </w:r>
            <w:r>
              <w:rPr>
                <w:rFonts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68251F">
              <w:rPr>
                <w:rFonts w:cs="Arial"/>
                <w:i/>
                <w:iCs/>
                <w:sz w:val="20"/>
                <w:szCs w:val="20"/>
                <w:highlight w:val="yellow"/>
              </w:rPr>
              <w:t>rudis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bCs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Reptilia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i/>
                <w:iCs/>
                <w:highlight w:val="yellow"/>
              </w:rPr>
            </w:pPr>
            <w:r w:rsidRPr="0068251F">
              <w:rPr>
                <w:i/>
                <w:iCs/>
                <w:highlight w:val="yellow"/>
              </w:rPr>
              <w:t>Caretta caretta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bCs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Aves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Calonectris diomedea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Falco eleonorae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Hydrobates pelagicus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Larus audouinii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 (R)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Pandion haliaetus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 (R)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Phalacrocorax aristotelis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Sterna albifrons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Sterna bengalensis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Sterna sandvicensis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(Mi)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Mammalia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Monachus monachus</w:t>
            </w:r>
          </w:p>
        </w:tc>
        <w:tc>
          <w:tcPr>
            <w:tcW w:w="6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Espèce réputée ayant fréquentée le site mais pas d’observations récentes.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Delphinusdelphis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(A)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Stenellacoeruleoalba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(A)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Tursiopstruncatus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(A)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Espèces comprises dans l’annexe III du protocole des ASP et DB en Méditerranée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Echinodermata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Paracentrotuslividus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Crustacea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lastRenderedPageBreak/>
              <w:t>Maja squinado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Scyllarideslatus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Pisces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b/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Epinephelus marginatus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(O)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Espèces comprises dans la liste rouge de l’UICN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pStyle w:val="Corpsdetexte"/>
              <w:spacing w:before="60" w:after="60"/>
              <w:jc w:val="left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  <w:r w:rsidRPr="0068251F">
              <w:rPr>
                <w:rFonts w:cs="Arial"/>
                <w:b/>
                <w:bCs/>
                <w:sz w:val="20"/>
                <w:szCs w:val="20"/>
                <w:highlight w:val="yellow"/>
              </w:rPr>
              <w:t>Phaeophyta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Cystoseira elegans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highlight w:val="yellow"/>
              </w:rPr>
            </w:pPr>
            <w:r w:rsidRPr="0068251F">
              <w:rPr>
                <w:i/>
                <w:highlight w:val="yellow"/>
              </w:rPr>
              <w:t>Sargassum vulgare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rPr>
                <w:i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Rhodophyta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highlight w:val="yellow"/>
              </w:rPr>
            </w:pPr>
            <w:r w:rsidRPr="0068251F">
              <w:rPr>
                <w:i/>
                <w:highlight w:val="yellow"/>
              </w:rPr>
              <w:t>Peyssonneliasquamaria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-21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Aves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Falco perigrinus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Hieraetus fasciatus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(R) (B)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93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b/>
                <w:bCs/>
                <w:highlight w:val="yellow"/>
              </w:rPr>
            </w:pPr>
            <w:r w:rsidRPr="0068251F">
              <w:rPr>
                <w:b/>
                <w:bCs/>
                <w:highlight w:val="yellow"/>
              </w:rPr>
              <w:t>Espèces comprises dans l’annexe II de la CITES</w:t>
            </w: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-21"/>
              <w:rPr>
                <w:b/>
                <w:highlight w:val="yellow"/>
              </w:rPr>
            </w:pPr>
            <w:r w:rsidRPr="0068251F">
              <w:rPr>
                <w:b/>
                <w:highlight w:val="yellow"/>
              </w:rPr>
              <w:t>Mollusca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</w:tr>
      <w:tr w:rsidR="00543716" w:rsidRPr="0068251F" w:rsidTr="00B11242">
        <w:trPr>
          <w:cantSplit/>
          <w:trHeight w:val="328"/>
        </w:trPr>
        <w:tc>
          <w:tcPr>
            <w:tcW w:w="2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ind w:left="159"/>
              <w:rPr>
                <w:bCs/>
                <w:i/>
                <w:iCs/>
                <w:highlight w:val="yellow"/>
              </w:rPr>
            </w:pPr>
            <w:r w:rsidRPr="0068251F">
              <w:rPr>
                <w:bCs/>
                <w:i/>
                <w:iCs/>
                <w:highlight w:val="yellow"/>
              </w:rPr>
              <w:t>Lithophaga lithophaga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68251F">
              <w:rPr>
                <w:highlight w:val="yellow"/>
              </w:rPr>
              <w:t>(NC)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  <w:rPr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16" w:rsidRPr="0068251F" w:rsidRDefault="00543716" w:rsidP="00B11242">
            <w:pPr>
              <w:spacing w:before="60" w:after="60" w:line="240" w:lineRule="auto"/>
              <w:jc w:val="center"/>
            </w:pPr>
            <w:r w:rsidRPr="0068251F">
              <w:rPr>
                <w:highlight w:val="yellow"/>
              </w:rPr>
              <w:t>(R)</w:t>
            </w:r>
          </w:p>
        </w:tc>
      </w:tr>
    </w:tbl>
    <w:p w:rsidR="00543716" w:rsidRDefault="00543716" w:rsidP="00543716">
      <w:pPr>
        <w:pStyle w:val="Lgende"/>
        <w:jc w:val="center"/>
        <w:rPr>
          <w:rFonts w:ascii="Arial" w:hAnsi="Arial" w:cs="Arial"/>
          <w:i/>
          <w:color w:val="auto"/>
          <w:sz w:val="22"/>
          <w:szCs w:val="22"/>
          <w:highlight w:val="yellow"/>
        </w:rPr>
      </w:pPr>
    </w:p>
    <w:p w:rsidR="00543716" w:rsidRDefault="00543716" w:rsidP="00543716">
      <w:pPr>
        <w:rPr>
          <w:rFonts w:eastAsia="Calibri"/>
          <w:b/>
          <w:bCs/>
          <w:i/>
          <w:sz w:val="22"/>
          <w:szCs w:val="22"/>
          <w:highlight w:val="yellow"/>
          <w:lang w:val="fr-FR" w:eastAsia="en-US"/>
        </w:rPr>
      </w:pPr>
      <w:r>
        <w:rPr>
          <w:i/>
          <w:sz w:val="22"/>
          <w:szCs w:val="22"/>
          <w:highlight w:val="yellow"/>
        </w:rPr>
        <w:br w:type="page"/>
      </w:r>
    </w:p>
    <w:p w:rsidR="00543716" w:rsidRPr="007965B5" w:rsidRDefault="00543716" w:rsidP="00543716">
      <w:pPr>
        <w:pStyle w:val="Lgende"/>
        <w:jc w:val="center"/>
        <w:rPr>
          <w:rFonts w:ascii="Arial" w:hAnsi="Arial" w:cs="Arial"/>
          <w:i/>
          <w:color w:val="auto"/>
          <w:sz w:val="22"/>
          <w:szCs w:val="22"/>
          <w:highlight w:val="yellow"/>
        </w:rPr>
      </w:pPr>
      <w:r w:rsidRPr="007965B5">
        <w:rPr>
          <w:rFonts w:ascii="Arial" w:hAnsi="Arial" w:cs="Arial"/>
          <w:i/>
          <w:color w:val="auto"/>
          <w:sz w:val="22"/>
          <w:szCs w:val="22"/>
          <w:highlight w:val="yellow"/>
        </w:rPr>
        <w:lastRenderedPageBreak/>
        <w:t>Espèces d’intérêt pour la conservation en Méditerranée observées dans les sites prospectés. (LR) Livre rouge de Méditerranée UNEP/IUCN/GIS (1990) ; (EU) Directive Habitat de l’Union Européenne (1992) ; (CBa) Convention de Barcelone (1995) ; (CBe) Convention de Berne (1996) ; (UICN) Union Internationale pour la Conservation de la Nature ; (CITES) Convention sur le Commerce des espèces de faune et flore sauvages menacées d’extinction ; (PNAH) Parc National d’Al Hoceima ; (MES) secteur entre Cala Iris et Mestassa ; (JEB) Cirque de Jebha et alentours ; (RHO) Côte de Rhomara.</w:t>
      </w:r>
    </w:p>
    <w:tbl>
      <w:tblPr>
        <w:tblW w:w="6692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146"/>
        <w:gridCol w:w="499"/>
        <w:gridCol w:w="567"/>
        <w:gridCol w:w="541"/>
        <w:gridCol w:w="620"/>
        <w:gridCol w:w="629"/>
        <w:gridCol w:w="729"/>
        <w:gridCol w:w="146"/>
      </w:tblGrid>
      <w:tr w:rsidR="00543716" w:rsidRPr="007965B5" w:rsidTr="00B11242">
        <w:trPr>
          <w:trHeight w:val="255"/>
          <w:jc w:val="center"/>
        </w:trPr>
        <w:tc>
          <w:tcPr>
            <w:tcW w:w="2815" w:type="dxa"/>
            <w:vMerge w:val="restart"/>
            <w:tcBorders>
              <w:top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ESPECES PROTEGEES</w:t>
            </w:r>
          </w:p>
        </w:tc>
        <w:tc>
          <w:tcPr>
            <w:tcW w:w="146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3585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Type de protection</w:t>
            </w:r>
          </w:p>
        </w:tc>
        <w:tc>
          <w:tcPr>
            <w:tcW w:w="146" w:type="dxa"/>
            <w:vMerge w:val="restart"/>
            <w:tcBorders>
              <w:top w:val="single" w:sz="18" w:space="0" w:color="auto"/>
            </w:tcBorders>
            <w:shd w:val="clear" w:color="auto" w:fill="EAF1DD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vMerge/>
            <w:tcBorders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146" w:type="dxa"/>
            <w:vMerge/>
            <w:tcBorders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4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LR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EU</w:t>
            </w:r>
          </w:p>
        </w:tc>
        <w:tc>
          <w:tcPr>
            <w:tcW w:w="5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CBa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CBe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UICN</w:t>
            </w:r>
          </w:p>
        </w:tc>
        <w:tc>
          <w:tcPr>
            <w:tcW w:w="72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CITES</w:t>
            </w:r>
          </w:p>
        </w:tc>
        <w:tc>
          <w:tcPr>
            <w:tcW w:w="146" w:type="dxa"/>
            <w:vMerge/>
            <w:tcBorders>
              <w:bottom w:val="single" w:sz="18" w:space="0" w:color="auto"/>
            </w:tcBorders>
            <w:shd w:val="clear" w:color="auto" w:fill="EAF1DD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MACROPHYTA</w:t>
            </w:r>
          </w:p>
        </w:tc>
        <w:tc>
          <w:tcPr>
            <w:tcW w:w="146" w:type="dxa"/>
            <w:tcBorders>
              <w:top w:val="single" w:sz="18" w:space="0" w:color="auto"/>
            </w:tcBorders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499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541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620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729" w:type="dxa"/>
            <w:tcBorders>
              <w:top w:val="single" w:sz="18" w:space="0" w:color="auto"/>
            </w:tcBorders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  <w:tc>
          <w:tcPr>
            <w:tcW w:w="146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Fucophyta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214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Cystoseira spp.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+</w:t>
            </w: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214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Lithophyllum byssoides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+</w:t>
            </w: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+</w:t>
            </w: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214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Peyssonnelia squamaria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INVERTEBRATA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Cnidaria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Astroides calycularis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Mollusca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Cymbula nigra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Patella ferruginea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IV</w:t>
            </w: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Lithophaga lithophaga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IV</w:t>
            </w: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</w:t>
            </w: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Echinodermata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Paracentrotus lividus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highlight w:val="yellow"/>
                <w:lang w:eastAsia="fr-FR"/>
              </w:rPr>
              <w:t>III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b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bCs/>
                <w:highlight w:val="yellow"/>
                <w:lang w:eastAsia="fr-FR"/>
              </w:rPr>
              <w:t>Pisces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highlight w:val="yellow"/>
                <w:lang w:eastAsia="fr-FR"/>
              </w:rPr>
            </w:pPr>
          </w:p>
        </w:tc>
      </w:tr>
      <w:tr w:rsidR="00543716" w:rsidRPr="007965B5" w:rsidTr="00B11242">
        <w:trPr>
          <w:trHeight w:val="255"/>
          <w:jc w:val="center"/>
        </w:trPr>
        <w:tc>
          <w:tcPr>
            <w:tcW w:w="2815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ind w:left="72"/>
              <w:rPr>
                <w:rFonts w:eastAsia="Times New Roman"/>
                <w:b/>
                <w:i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/>
                <w:iCs/>
                <w:highlight w:val="yellow"/>
                <w:lang w:eastAsia="fr-FR"/>
              </w:rPr>
              <w:t>Epinephelus marginatus</w:t>
            </w:r>
          </w:p>
        </w:tc>
        <w:tc>
          <w:tcPr>
            <w:tcW w:w="146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  <w:tc>
          <w:tcPr>
            <w:tcW w:w="49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  <w:tc>
          <w:tcPr>
            <w:tcW w:w="567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  <w:tc>
          <w:tcPr>
            <w:tcW w:w="541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Cs/>
                <w:highlight w:val="yellow"/>
                <w:lang w:eastAsia="fr-FR"/>
              </w:rPr>
              <w:t>III</w:t>
            </w:r>
          </w:p>
        </w:tc>
        <w:tc>
          <w:tcPr>
            <w:tcW w:w="620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  <w:r w:rsidRPr="007965B5">
              <w:rPr>
                <w:rFonts w:eastAsia="Times New Roman"/>
                <w:b/>
                <w:iCs/>
                <w:highlight w:val="yellow"/>
                <w:lang w:eastAsia="fr-FR"/>
              </w:rPr>
              <w:t>III</w:t>
            </w:r>
          </w:p>
        </w:tc>
        <w:tc>
          <w:tcPr>
            <w:tcW w:w="6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  <w:tc>
          <w:tcPr>
            <w:tcW w:w="729" w:type="dxa"/>
            <w:shd w:val="clear" w:color="auto" w:fill="F2F2F2"/>
            <w:noWrap/>
            <w:vAlign w:val="center"/>
            <w:hideMark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  <w:tc>
          <w:tcPr>
            <w:tcW w:w="146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rFonts w:eastAsia="Times New Roman"/>
                <w:b/>
                <w:iCs/>
                <w:highlight w:val="yellow"/>
                <w:lang w:eastAsia="fr-FR"/>
              </w:rPr>
            </w:pPr>
          </w:p>
        </w:tc>
      </w:tr>
    </w:tbl>
    <w:p w:rsidR="00543716" w:rsidRPr="007965B5" w:rsidRDefault="00543716" w:rsidP="00543716">
      <w:pPr>
        <w:pStyle w:val="Lgende"/>
        <w:jc w:val="center"/>
        <w:rPr>
          <w:rFonts w:ascii="Arial" w:hAnsi="Arial" w:cs="Arial"/>
          <w:i/>
          <w:color w:val="auto"/>
          <w:sz w:val="22"/>
          <w:szCs w:val="22"/>
          <w:highlight w:val="yellow"/>
        </w:rPr>
      </w:pPr>
    </w:p>
    <w:p w:rsidR="00543716" w:rsidRDefault="00543716" w:rsidP="00543716">
      <w:pPr>
        <w:rPr>
          <w:rFonts w:eastAsia="Calibri"/>
          <w:b/>
          <w:bCs/>
          <w:i/>
          <w:sz w:val="22"/>
          <w:szCs w:val="22"/>
          <w:highlight w:val="yellow"/>
          <w:lang w:val="fr-FR" w:eastAsia="en-US"/>
        </w:rPr>
      </w:pPr>
      <w:r>
        <w:rPr>
          <w:i/>
          <w:sz w:val="22"/>
          <w:szCs w:val="22"/>
          <w:highlight w:val="yellow"/>
        </w:rPr>
        <w:br w:type="page"/>
      </w:r>
    </w:p>
    <w:p w:rsidR="00543716" w:rsidRPr="007965B5" w:rsidRDefault="00543716" w:rsidP="00543716">
      <w:pPr>
        <w:pStyle w:val="Lgende"/>
        <w:jc w:val="center"/>
        <w:rPr>
          <w:rFonts w:ascii="Arial" w:hAnsi="Arial" w:cs="Arial"/>
          <w:i/>
          <w:color w:val="auto"/>
          <w:sz w:val="22"/>
          <w:szCs w:val="22"/>
          <w:highlight w:val="yellow"/>
        </w:rPr>
      </w:pPr>
      <w:r w:rsidRPr="007965B5">
        <w:rPr>
          <w:rFonts w:ascii="Arial" w:hAnsi="Arial" w:cs="Arial"/>
          <w:i/>
          <w:color w:val="auto"/>
          <w:sz w:val="22"/>
          <w:szCs w:val="22"/>
          <w:highlight w:val="yellow"/>
        </w:rPr>
        <w:lastRenderedPageBreak/>
        <w:t>Habitats sensibles de Méditerranée observés dans la zone du Rif central. (LR) Livre rouge de Méditerranée UNEP/IUCN/GIS (1990) ; (EU) Directive Habitat de l’Union Européenne (1992) ; (CA) Convention d’Alghero (1995) ; (PM) Plan d’Action pour la Méditerranée, Convention de Barcelone (1995) ; (CB) Convention de Berne (1996) ; (PNAH) Parc National d’Al Hoceima ; (MES) secteur entre Cala Iris et Mestassa ; (JEB) Cirque de Jebha et alentours ; (RHO) Côte de Rhomara.</w:t>
      </w:r>
    </w:p>
    <w:tbl>
      <w:tblPr>
        <w:tblW w:w="7655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567"/>
        <w:gridCol w:w="567"/>
      </w:tblGrid>
      <w:tr w:rsidR="00543716" w:rsidRPr="007965B5" w:rsidTr="00B11242">
        <w:trPr>
          <w:jc w:val="center"/>
        </w:trPr>
        <w:tc>
          <w:tcPr>
            <w:tcW w:w="4820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HABITATS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PROTECTION</w:t>
            </w:r>
          </w:p>
        </w:tc>
      </w:tr>
      <w:tr w:rsidR="00543716" w:rsidRPr="007965B5" w:rsidTr="00B11242">
        <w:trPr>
          <w:jc w:val="center"/>
        </w:trPr>
        <w:tc>
          <w:tcPr>
            <w:tcW w:w="4820" w:type="dxa"/>
            <w:vMerge/>
            <w:tcBorders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7965B5">
              <w:rPr>
                <w:b/>
                <w:bCs/>
                <w:sz w:val="16"/>
                <w:szCs w:val="16"/>
                <w:highlight w:val="yellow"/>
              </w:rPr>
              <w:t>LR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7965B5">
              <w:rPr>
                <w:b/>
                <w:bCs/>
                <w:sz w:val="16"/>
                <w:szCs w:val="16"/>
                <w:highlight w:val="yellow"/>
              </w:rPr>
              <w:t>EU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7965B5">
              <w:rPr>
                <w:b/>
                <w:bCs/>
                <w:sz w:val="16"/>
                <w:szCs w:val="16"/>
                <w:highlight w:val="yellow"/>
              </w:rPr>
              <w:t>CA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7965B5">
              <w:rPr>
                <w:b/>
                <w:bCs/>
                <w:sz w:val="16"/>
                <w:szCs w:val="16"/>
                <w:highlight w:val="yellow"/>
              </w:rPr>
              <w:t>PM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6"/>
                <w:szCs w:val="16"/>
                <w:highlight w:val="yellow"/>
              </w:rPr>
            </w:pPr>
            <w:r w:rsidRPr="007965B5">
              <w:rPr>
                <w:b/>
                <w:bCs/>
                <w:sz w:val="16"/>
                <w:szCs w:val="16"/>
                <w:highlight w:val="yellow"/>
              </w:rPr>
              <w:t>CB</w:t>
            </w:r>
          </w:p>
        </w:tc>
      </w:tr>
      <w:tr w:rsidR="00543716" w:rsidRPr="007965B5" w:rsidTr="00B11242">
        <w:trPr>
          <w:jc w:val="center"/>
        </w:trPr>
        <w:tc>
          <w:tcPr>
            <w:tcW w:w="4820" w:type="dxa"/>
            <w:tcBorders>
              <w:top w:val="single" w:sz="18" w:space="0" w:color="auto"/>
            </w:tcBorders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Concrétions littorales organogéniques</w:t>
            </w:r>
          </w:p>
          <w:p w:rsidR="00543716" w:rsidRPr="007965B5" w:rsidRDefault="00543716" w:rsidP="00B11242">
            <w:pPr>
              <w:spacing w:after="0" w:line="240" w:lineRule="auto"/>
              <w:ind w:left="176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 xml:space="preserve">Encorbellement à </w:t>
            </w:r>
            <w:r w:rsidRPr="007965B5">
              <w:rPr>
                <w:b/>
                <w:bCs/>
                <w:i/>
                <w:sz w:val="18"/>
                <w:szCs w:val="18"/>
                <w:highlight w:val="yellow"/>
              </w:rPr>
              <w:t>Lithophyllum byssoides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</w:tr>
      <w:tr w:rsidR="00543716" w:rsidRPr="007965B5" w:rsidTr="00B11242">
        <w:trPr>
          <w:jc w:val="center"/>
        </w:trPr>
        <w:tc>
          <w:tcPr>
            <w:tcW w:w="4820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Biocénose de la roche médiolittorale</w:t>
            </w:r>
          </w:p>
          <w:p w:rsidR="00543716" w:rsidRPr="007965B5" w:rsidRDefault="00543716" w:rsidP="00B11242">
            <w:pPr>
              <w:spacing w:after="0" w:line="240" w:lineRule="auto"/>
              <w:ind w:left="176"/>
              <w:rPr>
                <w:b/>
                <w:bCs/>
                <w:i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 xml:space="preserve">Faciès à </w:t>
            </w:r>
            <w:r w:rsidRPr="007965B5">
              <w:rPr>
                <w:b/>
                <w:bCs/>
                <w:i/>
                <w:sz w:val="18"/>
                <w:szCs w:val="18"/>
                <w:highlight w:val="yellow"/>
              </w:rPr>
              <w:t>Pollicipes cornucopia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543716" w:rsidRPr="007965B5" w:rsidTr="00B11242">
        <w:trPr>
          <w:trHeight w:val="587"/>
          <w:jc w:val="center"/>
        </w:trPr>
        <w:tc>
          <w:tcPr>
            <w:tcW w:w="4820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Forêts à Fucales</w:t>
            </w:r>
          </w:p>
          <w:p w:rsidR="00543716" w:rsidRPr="007965B5" w:rsidRDefault="00543716" w:rsidP="00B11242">
            <w:pPr>
              <w:spacing w:after="0" w:line="240" w:lineRule="auto"/>
              <w:ind w:left="176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 xml:space="preserve">Forêts à </w:t>
            </w:r>
            <w:r w:rsidRPr="007965B5">
              <w:rPr>
                <w:b/>
                <w:bCs/>
                <w:i/>
                <w:sz w:val="18"/>
                <w:szCs w:val="18"/>
                <w:highlight w:val="yellow"/>
              </w:rPr>
              <w:t xml:space="preserve">Cystoseira </w:t>
            </w:r>
            <w:r w:rsidRPr="007965B5">
              <w:rPr>
                <w:b/>
                <w:bCs/>
                <w:sz w:val="18"/>
                <w:szCs w:val="18"/>
                <w:highlight w:val="yellow"/>
              </w:rPr>
              <w:t>spp.</w:t>
            </w:r>
          </w:p>
        </w:tc>
        <w:tc>
          <w:tcPr>
            <w:tcW w:w="567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</w:tr>
      <w:tr w:rsidR="00543716" w:rsidRPr="007965B5" w:rsidTr="00B11242">
        <w:trPr>
          <w:jc w:val="center"/>
        </w:trPr>
        <w:tc>
          <w:tcPr>
            <w:tcW w:w="4820" w:type="dxa"/>
            <w:tcBorders>
              <w:bottom w:val="single" w:sz="18" w:space="0" w:color="auto"/>
            </w:tcBorders>
            <w:shd w:val="clear" w:color="auto" w:fill="F2F2F2"/>
          </w:tcPr>
          <w:p w:rsidR="00543716" w:rsidRPr="007965B5" w:rsidRDefault="00543716" w:rsidP="00B11242">
            <w:pPr>
              <w:spacing w:after="0" w:line="240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Grottes sous-marines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543716" w:rsidRPr="007965B5" w:rsidRDefault="00543716" w:rsidP="00B1124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965B5">
              <w:rPr>
                <w:b/>
                <w:bCs/>
                <w:sz w:val="18"/>
                <w:szCs w:val="18"/>
                <w:highlight w:val="yellow"/>
              </w:rPr>
              <w:t>+</w:t>
            </w:r>
          </w:p>
        </w:tc>
      </w:tr>
    </w:tbl>
    <w:p w:rsidR="00543716" w:rsidRDefault="00543716" w:rsidP="00543716"/>
    <w:p w:rsidR="00543716" w:rsidRDefault="00543716" w:rsidP="00543716">
      <w:pPr>
        <w:rPr>
          <w:b/>
        </w:rPr>
      </w:pPr>
    </w:p>
    <w:p w:rsidR="00543716" w:rsidRPr="002761E6" w:rsidRDefault="00543716" w:rsidP="00543716">
      <w:pPr>
        <w:rPr>
          <w:b/>
        </w:rPr>
      </w:pPr>
    </w:p>
    <w:p w:rsidR="00543716" w:rsidRDefault="00543716" w:rsidP="00543716">
      <w:pPr>
        <w:pStyle w:val="pstyleComments"/>
      </w:pPr>
      <w:r>
        <w:rPr>
          <w:rStyle w:val="styleC3comment"/>
        </w:rPr>
        <w:t xml:space="preserve">Boîte de texte optionnelle pour donner plus d'informations sur les espèces animales d'importance internationale: </w:t>
      </w:r>
    </w:p>
    <w:p w:rsidR="00543716" w:rsidRDefault="00543716" w:rsidP="00543716">
      <w:pPr>
        <w:pStyle w:val="pstyleLabels"/>
      </w:pPr>
      <w:r>
        <w:rPr>
          <w:rStyle w:val="styleHint1txt"/>
        </w:rPr>
        <w:t xml:space="preserve"> (Ce champ est limité à 2500 caractères) </w:t>
      </w:r>
    </w:p>
    <w:tbl>
      <w:tblPr>
        <w:tblStyle w:val="myFieldTableStyle"/>
        <w:tblW w:w="0" w:type="auto"/>
        <w:tblInd w:w="0" w:type="dxa"/>
        <w:tblLook w:val="04A0" w:firstRow="1" w:lastRow="0" w:firstColumn="1" w:lastColumn="0" w:noHBand="0" w:noVBand="1"/>
      </w:tblPr>
      <w:tblGrid>
        <w:gridCol w:w="197"/>
        <w:gridCol w:w="8870"/>
      </w:tblGrid>
      <w:tr w:rsidR="00543716" w:rsidTr="00B11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FFFFFF"/>
          </w:tcPr>
          <w:p w:rsidR="00543716" w:rsidRDefault="00543716" w:rsidP="00B11242"/>
        </w:tc>
        <w:tc>
          <w:tcPr>
            <w:tcW w:w="9500" w:type="dxa"/>
          </w:tcPr>
          <w:p w:rsidR="00543716" w:rsidRDefault="00543716" w:rsidP="00B11242">
            <w:pPr>
              <w:spacing w:before="30" w:after="25" w:line="240" w:lineRule="auto"/>
              <w:ind w:left="57"/>
            </w:pPr>
          </w:p>
        </w:tc>
      </w:tr>
    </w:tbl>
    <w:p w:rsidR="00543716" w:rsidRDefault="00543716" w:rsidP="00543716"/>
    <w:p w:rsidR="00543716" w:rsidRDefault="00543716" w:rsidP="00543716"/>
    <w:p w:rsidR="00372449" w:rsidRDefault="00543716" w:rsidP="00543716">
      <w:pPr>
        <w:tabs>
          <w:tab w:val="left" w:pos="3168"/>
        </w:tabs>
      </w:pPr>
      <w:r>
        <w:tab/>
      </w:r>
      <w:bookmarkStart w:id="0" w:name="_GoBack"/>
      <w:bookmarkEnd w:id="0"/>
    </w:p>
    <w:sectPr w:rsidR="0037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AA" w:rsidRDefault="005B67AA" w:rsidP="00543716">
      <w:pPr>
        <w:spacing w:after="0" w:line="240" w:lineRule="auto"/>
      </w:pPr>
      <w:r>
        <w:separator/>
      </w:r>
    </w:p>
  </w:endnote>
  <w:endnote w:type="continuationSeparator" w:id="0">
    <w:p w:rsidR="005B67AA" w:rsidRDefault="005B67AA" w:rsidP="0054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AA" w:rsidRDefault="005B67AA" w:rsidP="00543716">
      <w:pPr>
        <w:spacing w:after="0" w:line="240" w:lineRule="auto"/>
      </w:pPr>
      <w:r>
        <w:separator/>
      </w:r>
    </w:p>
  </w:footnote>
  <w:footnote w:type="continuationSeparator" w:id="0">
    <w:p w:rsidR="005B67AA" w:rsidRDefault="005B67AA" w:rsidP="00543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08"/>
    <w:rsid w:val="00372449"/>
    <w:rsid w:val="00543716"/>
    <w:rsid w:val="005B67AA"/>
    <w:rsid w:val="00D8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633C-B316-4B8D-A6A5-23FB765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3716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sid w:val="00543716"/>
    <w:rPr>
      <w:vertAlign w:val="superscript"/>
    </w:rPr>
  </w:style>
  <w:style w:type="character" w:customStyle="1" w:styleId="styleL1">
    <w:name w:val="styleL1"/>
    <w:rsid w:val="00543716"/>
    <w:rPr>
      <w:rFonts w:ascii="Arial" w:eastAsia="Arial" w:hAnsi="Arial" w:cs="Arial"/>
      <w:b/>
      <w:color w:val="05348C"/>
      <w:sz w:val="22"/>
      <w:szCs w:val="22"/>
    </w:rPr>
  </w:style>
  <w:style w:type="character" w:customStyle="1" w:styleId="styleRad">
    <w:name w:val="styleRad"/>
    <w:rsid w:val="00543716"/>
    <w:rPr>
      <w:rFonts w:ascii="Arial" w:eastAsia="Arial" w:hAnsi="Arial" w:cs="Arial"/>
      <w:color w:val="355A9F"/>
      <w:sz w:val="18"/>
      <w:szCs w:val="18"/>
      <w:shd w:val="clear" w:color="auto" w:fill="FBF7C6"/>
    </w:rPr>
  </w:style>
  <w:style w:type="character" w:customStyle="1" w:styleId="styleC3comment">
    <w:name w:val="styleC3_comment"/>
    <w:rsid w:val="00543716"/>
    <w:rPr>
      <w:rFonts w:ascii="Arial" w:eastAsia="Arial" w:hAnsi="Arial" w:cs="Arial"/>
      <w:i/>
      <w:iCs/>
      <w:color w:val="355A9F"/>
      <w:sz w:val="18"/>
      <w:szCs w:val="18"/>
    </w:rPr>
  </w:style>
  <w:style w:type="character" w:customStyle="1" w:styleId="styleFootnotetxt">
    <w:name w:val="styleFootnote_txt"/>
    <w:rsid w:val="00543716"/>
    <w:rPr>
      <w:rFonts w:ascii="Arial" w:eastAsia="Arial" w:hAnsi="Arial" w:cs="Arial"/>
      <w:color w:val="000000"/>
      <w:sz w:val="16"/>
      <w:szCs w:val="16"/>
    </w:rPr>
  </w:style>
  <w:style w:type="character" w:customStyle="1" w:styleId="styleHint1txt">
    <w:name w:val="styleHint1_txt"/>
    <w:rsid w:val="00543716"/>
    <w:rPr>
      <w:rFonts w:ascii="Arial" w:eastAsia="Arial" w:hAnsi="Arial" w:cs="Arial"/>
      <w:i/>
      <w:iCs/>
      <w:color w:val="000000"/>
      <w:sz w:val="16"/>
      <w:szCs w:val="16"/>
    </w:rPr>
  </w:style>
  <w:style w:type="paragraph" w:customStyle="1" w:styleId="pstyleRadioTb">
    <w:name w:val="pstyleRadioTb"/>
    <w:basedOn w:val="Normal"/>
    <w:rsid w:val="00543716"/>
    <w:pPr>
      <w:jc w:val="center"/>
    </w:pPr>
  </w:style>
  <w:style w:type="paragraph" w:customStyle="1" w:styleId="pstyleSectionL1">
    <w:name w:val="pstyleSectionL1"/>
    <w:basedOn w:val="Normal"/>
    <w:rsid w:val="00543716"/>
    <w:pPr>
      <w:spacing w:before="5" w:after="0"/>
    </w:pPr>
  </w:style>
  <w:style w:type="paragraph" w:customStyle="1" w:styleId="pstyleComments">
    <w:name w:val="pstyleComments"/>
    <w:basedOn w:val="Normal"/>
    <w:rsid w:val="00543716"/>
    <w:pPr>
      <w:spacing w:before="100" w:after="0" w:line="240" w:lineRule="auto"/>
      <w:ind w:left="216"/>
    </w:pPr>
  </w:style>
  <w:style w:type="paragraph" w:customStyle="1" w:styleId="pstyleLabels">
    <w:name w:val="pstyleLabels"/>
    <w:basedOn w:val="Normal"/>
    <w:rsid w:val="00543716"/>
    <w:pPr>
      <w:spacing w:before="80" w:after="20" w:line="244" w:lineRule="auto"/>
      <w:ind w:left="216"/>
    </w:pPr>
  </w:style>
  <w:style w:type="table" w:customStyle="1" w:styleId="FancyTable">
    <w:name w:val="Fancy Table"/>
    <w:uiPriority w:val="99"/>
    <w:rsid w:val="00543716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  <w:tblPr>
      <w:tblBorders>
        <w:top w:val="single" w:sz="6" w:space="0" w:color="555555"/>
        <w:left w:val="single" w:sz="6" w:space="0" w:color="555555"/>
        <w:bottom w:val="single" w:sz="6" w:space="0" w:color="555555"/>
        <w:right w:val="single" w:sz="6" w:space="0" w:color="555555"/>
        <w:insideH w:val="single" w:sz="6" w:space="0" w:color="555555"/>
        <w:insideV w:val="single" w:sz="6" w:space="0" w:color="555555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EDEDED"/>
      </w:tcPr>
    </w:tblStylePr>
  </w:style>
  <w:style w:type="table" w:customStyle="1" w:styleId="myFieldTableStyle">
    <w:name w:val="myFieldTableStyle"/>
    <w:uiPriority w:val="99"/>
    <w:rsid w:val="00543716"/>
    <w:pPr>
      <w:spacing w:after="200" w:line="276" w:lineRule="auto"/>
    </w:pPr>
    <w:rPr>
      <w:rFonts w:ascii="Arial" w:eastAsia="Arial" w:hAnsi="Arial" w:cs="Arial"/>
      <w:sz w:val="20"/>
      <w:szCs w:val="20"/>
      <w:lang w:val="fr-CH" w:eastAsia="fr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" w:type="dxa"/>
        <w:left w:w="0" w:type="dxa"/>
        <w:bottom w:w="10" w:type="dxa"/>
        <w:right w:w="0" w:type="dxa"/>
      </w:tblCellMar>
    </w:tblPr>
    <w:tblStylePr w:type="firstRow">
      <w:tblPr/>
      <w:tcPr>
        <w:shd w:val="clear" w:color="auto" w:fill="FDFFD9"/>
      </w:tcPr>
    </w:tblStylePr>
  </w:style>
  <w:style w:type="paragraph" w:styleId="Corpsdetexte">
    <w:name w:val="Body Text"/>
    <w:basedOn w:val="Normal"/>
    <w:link w:val="CorpsdetexteCar"/>
    <w:uiPriority w:val="99"/>
    <w:semiHidden/>
    <w:rsid w:val="00543716"/>
    <w:pPr>
      <w:widowControl w:val="0"/>
      <w:spacing w:after="0" w:line="240" w:lineRule="auto"/>
      <w:jc w:val="both"/>
    </w:pPr>
    <w:rPr>
      <w:rFonts w:eastAsia="Times New Roman" w:cs="Times New Roman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3716"/>
    <w:rPr>
      <w:rFonts w:ascii="Arial" w:eastAsia="Times New Roman" w:hAnsi="Arial" w:cs="Times New Roman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43716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2018-08-15T10:01:00Z</dcterms:created>
  <dcterms:modified xsi:type="dcterms:W3CDTF">2018-08-15T10:02:00Z</dcterms:modified>
</cp:coreProperties>
</file>